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  <w:jc w:val="left"/>
      </w:pPr>
      <w:r>
        <w:rPr>
          <w:rFonts w:ascii="Arial" w:cs="Arial" w:eastAsia="Arial" w:hAnsi="Arial"/>
          <w:b/>
          <w:bCs/>
          <w:i w:val="false"/>
          <w:iCs w:val="false"/>
          <w:caps w:val="false"/>
          <w:color w:val="000000"/>
          <w:sz w:val="26"/>
          <w:szCs w:val="26"/>
        </w:rPr>
        <w:t xml:space="preserve">STANDARD AND CUSTOM LEAD TIMES</w:t>
      </w:r>
    </w:p>
    <w:p>
      <w:pPr>
        <w:spacing w:after="240" w:before="0" w:line="264"/>
      </w:pPr>
      <w:r>
        <w:rPr>
          <w:rFonts w:ascii="Arial" w:cs="Arial" w:eastAsia="Arial" w:hAnsi="Arial"/>
          <w:b w:val="false"/>
          <w:bCs w:val="false"/>
          <w:i w:val="false"/>
          <w:iCs w:val="false"/>
          <w:caps w:val="false"/>
          <w:color w:val="000000"/>
          <w:sz w:val="18"/>
          <w:szCs w:val="18"/>
        </w:rPr>
        <w:t xml:space="preserve">Ridgeline Fabrication  ·  Issued June 2024  ·  Sales and estimating reference</w:t>
      </w:r>
    </w:p>
    <w:p>
      <w:pPr>
        <w:pBdr>
          <w:bottom w:val="single" w:color="999999" w:sz="6" w:space="4"/>
        </w:pBdr>
        <w:spacing w:after="160" w:before="120"/>
      </w:pPr>
    </w:p>
    <w:p>
      <w:pPr>
        <w:spacing w:after="120" w:before="160"/>
      </w:pPr>
      <w:r>
        <w:rPr>
          <w:rFonts w:ascii="Arial" w:cs="Arial" w:eastAsia="Arial" w:hAnsi="Arial"/>
          <w:b/>
          <w:bCs/>
          <w:i w:val="false"/>
          <w:iCs w:val="false"/>
          <w:caps w:val="false"/>
          <w:color w:val="000000"/>
          <w:sz w:val="24"/>
          <w:szCs w:val="24"/>
        </w:rPr>
        <w:t xml:space="preserve">STANDARD CATALOG ITEMS</w:t>
      </w:r>
    </w:p>
    <w:tbl>
      <w:tblPr>
        <w:tblW w:type="dxa" w:w="9360"/>
        <w:tblBorders>
          <w:top w:val="single" w:color="808080" w:sz="4"/>
          <w:left w:val="single" w:color="808080" w:sz="4"/>
          <w:bottom w:val="single" w:color="808080" w:sz="4"/>
          <w:right w:val="single" w:color="808080" w:sz="4"/>
          <w:insideH w:val="single" w:color="808080" w:sz="4"/>
          <w:insideV w:val="single" w:color="808080" w:sz="4"/>
        </w:tblBorders>
      </w:tblPr>
      <w:tblGrid>
        <w:gridCol w:w="3900"/>
        <w:gridCol w:w="2400"/>
        <w:gridCol w:w="3060"/>
      </w:tblGrid>
      <w:tr>
        <w:tc>
          <w:tcPr>
            <w:tcW w:type="dxa" w:w="3900"/>
            <w:shd w:fill="D9D9D9" w:color="auto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0" w:line="252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 w:val="false"/>
                <w:color w:val="000000"/>
                <w:sz w:val="20"/>
                <w:szCs w:val="20"/>
              </w:rPr>
              <w:t xml:space="preserve">Product family</w:t>
            </w:r>
          </w:p>
        </w:tc>
        <w:tc>
          <w:tcPr>
            <w:tcW w:type="dxa" w:w="2400"/>
            <w:shd w:fill="D9D9D9" w:color="auto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0" w:line="252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 w:val="false"/>
                <w:color w:val="000000"/>
                <w:sz w:val="20"/>
                <w:szCs w:val="20"/>
              </w:rPr>
              <w:t xml:space="preserve">Quantity</w:t>
            </w:r>
          </w:p>
        </w:tc>
        <w:tc>
          <w:tcPr>
            <w:tcW w:type="dxa" w:w="3060"/>
            <w:shd w:fill="D9D9D9" w:color="auto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0" w:line="252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 w:val="false"/>
                <w:color w:val="000000"/>
                <w:sz w:val="20"/>
                <w:szCs w:val="20"/>
              </w:rPr>
              <w:t xml:space="preserve">Lead time from PO</w:t>
            </w:r>
          </w:p>
        </w:tc>
      </w:tr>
      <w:tr>
        <w:tc>
          <w:tcPr>
            <w:tcW w:type="dxa" w:w="3900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0" w:line="252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aps w:val="false"/>
                <w:color w:val="000000"/>
                <w:sz w:val="20"/>
                <w:szCs w:val="20"/>
              </w:rPr>
              <w:t xml:space="preserve">Structural brackets, stock sizes</w:t>
            </w:r>
          </w:p>
        </w:tc>
        <w:tc>
          <w:tcPr>
            <w:tcW w:type="dxa" w:w="2400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0" w:line="252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aps w:val="false"/>
                <w:color w:val="000000"/>
                <w:sz w:val="20"/>
                <w:szCs w:val="20"/>
              </w:rPr>
              <w:t xml:space="preserve">Up to 250</w:t>
            </w:r>
          </w:p>
        </w:tc>
        <w:tc>
          <w:tcPr>
            <w:tcW w:type="dxa" w:w="3060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0" w:line="252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aps w:val="false"/>
                <w:color w:val="000000"/>
                <w:sz w:val="20"/>
                <w:szCs w:val="20"/>
              </w:rPr>
              <w:t xml:space="preserve">5 business days</w:t>
            </w:r>
          </w:p>
        </w:tc>
      </w:tr>
      <w:tr>
        <w:tc>
          <w:tcPr>
            <w:tcW w:type="dxa" w:w="3900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0" w:line="252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aps w:val="false"/>
                <w:color w:val="000000"/>
                <w:sz w:val="20"/>
                <w:szCs w:val="20"/>
              </w:rPr>
              <w:t xml:space="preserve">Structural brackets, stock sizes</w:t>
            </w:r>
          </w:p>
        </w:tc>
        <w:tc>
          <w:tcPr>
            <w:tcW w:type="dxa" w:w="2400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0" w:line="252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aps w:val="false"/>
                <w:color w:val="000000"/>
                <w:sz w:val="20"/>
                <w:szCs w:val="20"/>
              </w:rPr>
              <w:t xml:space="preserve">251 – 1,000</w:t>
            </w:r>
          </w:p>
        </w:tc>
        <w:tc>
          <w:tcPr>
            <w:tcW w:type="dxa" w:w="3060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0" w:line="252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aps w:val="false"/>
                <w:color w:val="000000"/>
                <w:sz w:val="20"/>
                <w:szCs w:val="20"/>
              </w:rPr>
              <w:t xml:space="preserve">10 business days</w:t>
            </w:r>
          </w:p>
        </w:tc>
      </w:tr>
      <w:tr>
        <w:tc>
          <w:tcPr>
            <w:tcW w:type="dxa" w:w="3900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0" w:line="252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aps w:val="false"/>
                <w:color w:val="000000"/>
                <w:sz w:val="20"/>
                <w:szCs w:val="20"/>
              </w:rPr>
              <w:t xml:space="preserve">Plate weldments, catalog</w:t>
            </w:r>
          </w:p>
        </w:tc>
        <w:tc>
          <w:tcPr>
            <w:tcW w:type="dxa" w:w="2400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0" w:line="252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aps w:val="false"/>
                <w:color w:val="000000"/>
                <w:sz w:val="20"/>
                <w:szCs w:val="20"/>
              </w:rPr>
              <w:t xml:space="preserve">Up to 100</w:t>
            </w:r>
          </w:p>
        </w:tc>
        <w:tc>
          <w:tcPr>
            <w:tcW w:type="dxa" w:w="3060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0" w:line="252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aps w:val="false"/>
                <w:color w:val="000000"/>
                <w:sz w:val="20"/>
                <w:szCs w:val="20"/>
              </w:rPr>
              <w:t xml:space="preserve">7 business days</w:t>
            </w:r>
          </w:p>
        </w:tc>
      </w:tr>
      <w:tr>
        <w:tc>
          <w:tcPr>
            <w:tcW w:type="dxa" w:w="3900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0" w:line="252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aps w:val="false"/>
                <w:color w:val="000000"/>
                <w:sz w:val="20"/>
                <w:szCs w:val="20"/>
              </w:rPr>
              <w:t xml:space="preserve">Plate weldments, catalog</w:t>
            </w:r>
          </w:p>
        </w:tc>
        <w:tc>
          <w:tcPr>
            <w:tcW w:type="dxa" w:w="2400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0" w:line="252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aps w:val="false"/>
                <w:color w:val="000000"/>
                <w:sz w:val="20"/>
                <w:szCs w:val="20"/>
              </w:rPr>
              <w:t xml:space="preserve">101 – 500</w:t>
            </w:r>
          </w:p>
        </w:tc>
        <w:tc>
          <w:tcPr>
            <w:tcW w:type="dxa" w:w="3060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0" w:line="252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aps w:val="false"/>
                <w:color w:val="000000"/>
                <w:sz w:val="20"/>
                <w:szCs w:val="20"/>
              </w:rPr>
              <w:t xml:space="preserve">12 business days</w:t>
            </w:r>
          </w:p>
        </w:tc>
      </w:tr>
      <w:tr>
        <w:tc>
          <w:tcPr>
            <w:tcW w:type="dxa" w:w="3900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0" w:line="252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aps w:val="false"/>
                <w:color w:val="000000"/>
                <w:sz w:val="20"/>
                <w:szCs w:val="20"/>
              </w:rPr>
              <w:t xml:space="preserve">Sheet enclosures, catalog</w:t>
            </w:r>
          </w:p>
        </w:tc>
        <w:tc>
          <w:tcPr>
            <w:tcW w:type="dxa" w:w="2400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0" w:line="252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aps w:val="false"/>
                <w:color w:val="000000"/>
                <w:sz w:val="20"/>
                <w:szCs w:val="20"/>
              </w:rPr>
              <w:t xml:space="preserve">Any</w:t>
            </w:r>
          </w:p>
        </w:tc>
        <w:tc>
          <w:tcPr>
            <w:tcW w:type="dxa" w:w="3060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0" w:line="252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aps w:val="false"/>
                <w:color w:val="000000"/>
                <w:sz w:val="20"/>
                <w:szCs w:val="20"/>
              </w:rPr>
              <w:t xml:space="preserve">10 business days</w:t>
            </w:r>
          </w:p>
        </w:tc>
      </w:tr>
      <w:tr>
        <w:tc>
          <w:tcPr>
            <w:tcW w:type="dxa" w:w="3900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0" w:line="252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aps w:val="false"/>
                <w:color w:val="000000"/>
                <w:sz w:val="20"/>
                <w:szCs w:val="20"/>
              </w:rPr>
              <w:t xml:space="preserve">Handrail and guarding, catalog</w:t>
            </w:r>
          </w:p>
        </w:tc>
        <w:tc>
          <w:tcPr>
            <w:tcW w:type="dxa" w:w="2400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0" w:line="252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aps w:val="false"/>
                <w:color w:val="000000"/>
                <w:sz w:val="20"/>
                <w:szCs w:val="20"/>
              </w:rPr>
              <w:t xml:space="preserve">Any</w:t>
            </w:r>
          </w:p>
        </w:tc>
        <w:tc>
          <w:tcPr>
            <w:tcW w:type="dxa" w:w="3060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0" w:line="252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aps w:val="false"/>
                <w:color w:val="000000"/>
                <w:sz w:val="20"/>
                <w:szCs w:val="20"/>
              </w:rPr>
              <w:t xml:space="preserve">8 business days</w:t>
            </w:r>
          </w:p>
        </w:tc>
      </w:tr>
    </w:tbl>
    <w:p>
      <w:pPr>
        <w:spacing w:after="120" w:before="280"/>
      </w:pPr>
      <w:r>
        <w:rPr>
          <w:rFonts w:ascii="Arial" w:cs="Arial" w:eastAsia="Arial" w:hAnsi="Arial"/>
          <w:b/>
          <w:bCs/>
          <w:i w:val="false"/>
          <w:iCs w:val="false"/>
          <w:caps w:val="false"/>
          <w:color w:val="000000"/>
          <w:sz w:val="24"/>
          <w:szCs w:val="24"/>
        </w:rPr>
        <w:t xml:space="preserve">CUSTOM AND MADE-TO-PRINT WORK</w:t>
      </w:r>
    </w:p>
    <w:p>
      <w:pPr>
        <w:spacing w:after="160" w:before="0" w:line="264"/>
      </w:pPr>
      <w:r>
        <w:rPr>
          <w:rFonts w:ascii="Arial" w:cs="Arial" w:eastAsia="Arial" w:hAnsi="Arial"/>
          <w:b w:val="false"/>
          <w:bCs w:val="false"/>
          <w:i w:val="false"/>
          <w:iCs w:val="false"/>
          <w:caps w:val="false"/>
          <w:color w:val="000000"/>
          <w:sz w:val="21"/>
          <w:szCs w:val="21"/>
        </w:rPr>
        <w:t xml:space="preserve">Custom work is anything requiring a new program, a new fixture, or a print we have not run before.</w:t>
      </w:r>
    </w:p>
    <w:tbl>
      <w:tblPr>
        <w:tblW w:type="dxa" w:w="9360"/>
        <w:tblBorders>
          <w:top w:val="single" w:color="808080" w:sz="4"/>
          <w:left w:val="single" w:color="808080" w:sz="4"/>
          <w:bottom w:val="single" w:color="808080" w:sz="4"/>
          <w:right w:val="single" w:color="808080" w:sz="4"/>
          <w:insideH w:val="single" w:color="808080" w:sz="4"/>
          <w:insideV w:val="single" w:color="808080" w:sz="4"/>
        </w:tblBorders>
      </w:tblPr>
      <w:tblGrid>
        <w:gridCol w:w="3400"/>
        <w:gridCol w:w="5960"/>
      </w:tblGrid>
      <w:tr>
        <w:tc>
          <w:tcPr>
            <w:tcW w:type="dxa" w:w="3400"/>
            <w:shd w:fill="D9D9D9" w:color="auto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0" w:line="252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 w:val="false"/>
                <w:color w:val="000000"/>
                <w:sz w:val="20"/>
                <w:szCs w:val="20"/>
              </w:rPr>
              <w:t xml:space="preserve">Order size</w:t>
            </w:r>
          </w:p>
        </w:tc>
        <w:tc>
          <w:tcPr>
            <w:tcW w:type="dxa" w:w="5960"/>
            <w:shd w:fill="D9D9D9" w:color="auto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0" w:line="252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 w:val="false"/>
                <w:color w:val="000000"/>
                <w:sz w:val="20"/>
                <w:szCs w:val="20"/>
              </w:rPr>
              <w:t xml:space="preserve">Lead time from approved drawing</w:t>
            </w:r>
          </w:p>
        </w:tc>
      </w:tr>
      <w:tr>
        <w:tc>
          <w:tcPr>
            <w:tcW w:type="dxa" w:w="3400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0" w:line="252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aps w:val="false"/>
                <w:color w:val="000000"/>
                <w:sz w:val="20"/>
                <w:szCs w:val="20"/>
              </w:rPr>
              <w:t xml:space="preserve">Under 100 units</w:t>
            </w:r>
          </w:p>
        </w:tc>
        <w:tc>
          <w:tcPr>
            <w:tcW w:type="dxa" w:w="5960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0" w:line="252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aps w:val="false"/>
                <w:color w:val="000000"/>
                <w:sz w:val="20"/>
                <w:szCs w:val="20"/>
              </w:rPr>
              <w:t xml:space="preserve">3 weeks</w:t>
            </w:r>
          </w:p>
        </w:tc>
      </w:tr>
      <w:tr>
        <w:tc>
          <w:tcPr>
            <w:tcW w:type="dxa" w:w="3400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0" w:line="252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aps w:val="false"/>
                <w:color w:val="000000"/>
                <w:sz w:val="20"/>
                <w:szCs w:val="20"/>
              </w:rPr>
              <w:t xml:space="preserve">100 – 499 units</w:t>
            </w:r>
          </w:p>
        </w:tc>
        <w:tc>
          <w:tcPr>
            <w:tcW w:type="dxa" w:w="5960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0" w:line="252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aps w:val="false"/>
                <w:color w:val="000000"/>
                <w:sz w:val="20"/>
                <w:szCs w:val="20"/>
              </w:rPr>
              <w:t xml:space="preserve">4 weeks</w:t>
            </w:r>
          </w:p>
        </w:tc>
      </w:tr>
      <w:tr>
        <w:tc>
          <w:tcPr>
            <w:tcW w:type="dxa" w:w="3400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0" w:line="252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aps w:val="false"/>
                <w:color w:val="000000"/>
                <w:sz w:val="20"/>
                <w:szCs w:val="20"/>
              </w:rPr>
              <w:t xml:space="preserve">500 units and above</w:t>
            </w:r>
          </w:p>
        </w:tc>
        <w:tc>
          <w:tcPr>
            <w:tcW w:type="dxa" w:w="5960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0" w:line="252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aps w:val="false"/>
                <w:color w:val="000000"/>
                <w:sz w:val="20"/>
                <w:szCs w:val="20"/>
              </w:rPr>
              <w:t xml:space="preserve">6 weeks</w:t>
            </w:r>
          </w:p>
        </w:tc>
      </w:tr>
      <w:tr>
        <w:tc>
          <w:tcPr>
            <w:tcW w:type="dxa" w:w="3400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0" w:line="252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aps w:val="false"/>
                <w:color w:val="000000"/>
                <w:sz w:val="20"/>
                <w:szCs w:val="20"/>
              </w:rPr>
              <w:t xml:space="preserve">Over 2,000 units</w:t>
            </w:r>
          </w:p>
        </w:tc>
        <w:tc>
          <w:tcPr>
            <w:tcW w:type="dxa" w:w="5960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0" w:line="252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aps w:val="false"/>
                <w:color w:val="000000"/>
                <w:sz w:val="20"/>
                <w:szCs w:val="20"/>
              </w:rPr>
              <w:t xml:space="preserve">Quoted individually. Talk to scheduling before promising a date.</w:t>
            </w:r>
          </w:p>
        </w:tc>
      </w:tr>
    </w:tbl>
    <w:p>
      <w:pPr>
        <w:spacing w:after="160" w:before="200" w:line="264"/>
      </w:pPr>
      <w:r>
        <w:rPr>
          <w:rFonts w:ascii="Arial" w:cs="Arial" w:eastAsia="Arial" w:hAnsi="Arial"/>
          <w:b/>
          <w:bCs/>
          <w:i w:val="false"/>
          <w:iCs w:val="false"/>
          <w:caps w:val="false"/>
          <w:color w:val="000000"/>
          <w:sz w:val="21"/>
          <w:szCs w:val="21"/>
        </w:rPr>
        <w:t xml:space="preserve">Lead time starts when the drawing is approved, not when the PO is received.</w:t>
      </w:r>
      <w:r>
        <w:rPr>
          <w:rFonts w:ascii="Arial" w:cs="Arial" w:eastAsia="Arial" w:hAnsi="Arial"/>
          <w:b w:val="false"/>
          <w:bCs w:val="false"/>
          <w:i w:val="false"/>
          <w:iCs w:val="false"/>
          <w:caps w:val="false"/>
          <w:color w:val="000000"/>
          <w:sz w:val="21"/>
          <w:szCs w:val="21"/>
        </w:rPr>
        <w:t xml:space="preserve"> This is the single most common source of disputes with customers. Say it on every quote.</w:t>
      </w:r>
    </w:p>
    <w:p>
      <w:pPr>
        <w:spacing w:after="120" w:before="280"/>
      </w:pPr>
      <w:r>
        <w:rPr>
          <w:rFonts w:ascii="Arial" w:cs="Arial" w:eastAsia="Arial" w:hAnsi="Arial"/>
          <w:b/>
          <w:bCs/>
          <w:i w:val="false"/>
          <w:iCs w:val="false"/>
          <w:caps w:val="false"/>
          <w:color w:val="000000"/>
          <w:sz w:val="24"/>
          <w:szCs w:val="24"/>
        </w:rPr>
        <w:t xml:space="preserve">WHAT ADDS TIME</w:t>
      </w:r>
    </w:p>
    <w:p>
      <w:pPr>
        <w:pStyle w:val="ListParagraph"/>
        <w:numPr>
          <w:ilvl w:val="0"/>
          <w:numId w:val="2"/>
        </w:numPr>
        <w:spacing w:after="80" w:line="264"/>
      </w:pPr>
      <w:r>
        <w:rPr>
          <w:rFonts w:ascii="Arial" w:cs="Arial" w:eastAsia="Arial" w:hAnsi="Arial"/>
          <w:b w:val="false"/>
          <w:bCs w:val="false"/>
          <w:i w:val="false"/>
          <w:iCs w:val="false"/>
          <w:caps w:val="false"/>
          <w:color w:val="000000"/>
          <w:sz w:val="21"/>
          <w:szCs w:val="21"/>
        </w:rPr>
        <w:t xml:space="preserve">Non-stock material. Add 2 to 3 weeks for anything we do not carry.</w:t>
      </w:r>
    </w:p>
    <w:p>
      <w:pPr>
        <w:pStyle w:val="ListParagraph"/>
        <w:numPr>
          <w:ilvl w:val="0"/>
          <w:numId w:val="2"/>
        </w:numPr>
        <w:spacing w:after="80" w:line="264"/>
      </w:pPr>
      <w:r>
        <w:rPr>
          <w:rFonts w:ascii="Arial" w:cs="Arial" w:eastAsia="Arial" w:hAnsi="Arial"/>
          <w:b w:val="false"/>
          <w:bCs w:val="false"/>
          <w:i w:val="false"/>
          <w:iCs w:val="false"/>
          <w:caps w:val="false"/>
          <w:color w:val="000000"/>
          <w:sz w:val="21"/>
          <w:szCs w:val="21"/>
        </w:rPr>
        <w:t xml:space="preserve">Powder coat in a non-standard color. Add 1 week.</w:t>
      </w:r>
    </w:p>
    <w:p>
      <w:pPr>
        <w:pStyle w:val="ListParagraph"/>
        <w:numPr>
          <w:ilvl w:val="0"/>
          <w:numId w:val="2"/>
        </w:numPr>
        <w:spacing w:after="80" w:line="264"/>
      </w:pPr>
      <w:r>
        <w:rPr>
          <w:rFonts w:ascii="Arial" w:cs="Arial" w:eastAsia="Arial" w:hAnsi="Arial"/>
          <w:b w:val="false"/>
          <w:bCs w:val="false"/>
          <w:i w:val="false"/>
          <w:iCs w:val="false"/>
          <w:caps w:val="false"/>
          <w:color w:val="000000"/>
          <w:sz w:val="21"/>
          <w:szCs w:val="21"/>
        </w:rPr>
        <w:t xml:space="preserve">Third-party inspection or certified weld documentation. Add 1 week.</w:t>
      </w:r>
    </w:p>
    <w:p>
      <w:pPr>
        <w:pStyle w:val="ListParagraph"/>
        <w:numPr>
          <w:ilvl w:val="0"/>
          <w:numId w:val="2"/>
        </w:numPr>
        <w:spacing w:after="80" w:line="264"/>
      </w:pPr>
      <w:r>
        <w:rPr>
          <w:rFonts w:ascii="Arial" w:cs="Arial" w:eastAsia="Arial" w:hAnsi="Arial"/>
          <w:b w:val="false"/>
          <w:bCs w:val="false"/>
          <w:i w:val="false"/>
          <w:iCs w:val="false"/>
          <w:caps w:val="false"/>
          <w:color w:val="000000"/>
          <w:sz w:val="21"/>
          <w:szCs w:val="21"/>
        </w:rPr>
        <w:t xml:space="preserve">Customer-supplied material. Add 1 week and confirm mill certs on arrival.</w:t>
      </w:r>
    </w:p>
    <w:p>
      <w:pPr>
        <w:spacing w:after="120" w:before="280"/>
      </w:pPr>
      <w:r>
        <w:rPr>
          <w:rFonts w:ascii="Arial" w:cs="Arial" w:eastAsia="Arial" w:hAnsi="Arial"/>
          <w:b/>
          <w:bCs/>
          <w:i w:val="false"/>
          <w:iCs w:val="false"/>
          <w:caps w:val="false"/>
          <w:color w:val="000000"/>
          <w:sz w:val="24"/>
          <w:szCs w:val="24"/>
        </w:rPr>
        <w:t xml:space="preserve">EXPEDITE</w:t>
      </w:r>
    </w:p>
    <w:p>
      <w:pPr>
        <w:spacing w:after="160" w:before="0" w:line="264"/>
      </w:pPr>
      <w:r>
        <w:rPr>
          <w:rFonts w:ascii="Arial" w:cs="Arial" w:eastAsia="Arial" w:hAnsi="Arial"/>
          <w:b w:val="false"/>
          <w:bCs w:val="false"/>
          <w:i w:val="false"/>
          <w:iCs w:val="false"/>
          <w:caps w:val="false"/>
          <w:color w:val="000000"/>
          <w:sz w:val="21"/>
          <w:szCs w:val="21"/>
        </w:rPr>
        <w:t xml:space="preserve">Expedite is available on standard catalog items only. 35% surcharge, cuts lead time roughly in half. Expedite is not available on custom work. Scheduling has final say and will refuse it during a full week.</w:t>
      </w:r>
    </w:p>
    <w:p>
      <w:pPr>
        <w:spacing w:after="240"/>
      </w:pPr>
    </w:p>
    <w:p>
      <w:pPr>
        <w:spacing w:after="160" w:before="0" w:line="264"/>
      </w:pPr>
      <w:r>
        <w:rPr>
          <w:rFonts w:ascii="Arial" w:cs="Arial" w:eastAsia="Arial" w:hAnsi="Arial"/>
          <w:b w:val="false"/>
          <w:bCs w:val="false"/>
          <w:i/>
          <w:iCs/>
          <w:caps w:val="false"/>
          <w:color w:val="000000"/>
          <w:sz w:val="18"/>
          <w:szCs w:val="18"/>
        </w:rPr>
        <w:t xml:space="preserve">Ridgeline Fabrication  ·  Rev. 06/2024</w:t>
      </w:r>
    </w:p>
    <w:sectPr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520" w:hanging="260"/>
      </w:pPr>
    </w:lvl>
    <w:lvl w:ilvl="1" w15:tentative="1">
      <w:start w:val="1"/>
      <w:numFmt w:val="bullet"/>
      <w:lvlText w:val="o"/>
      <w:lvlJc w:val="left"/>
      <w:pPr>
        <w:ind w:left="940" w:hanging="2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520" w:hanging="260"/>
      </w:pPr>
    </w:lvl>
  </w:abstractNum>
  <w:abstractNum w:abstractNumId="4" w15:restartNumberingAfterBreak="0">
    <w:multiLevelType w:val="hybridMultilevel"/>
    <w:lvl w:ilvl="0" w15:tentative="1">
      <w:start w:val="1"/>
      <w:numFmt w:val="decimal"/>
      <w:lvlText w:val="%1)"/>
      <w:lvlJc w:val="left"/>
      <w:pPr>
        <w:ind w:left="520" w:hanging="2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000000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Ridgeline Fabrication</dc:creator>
  <cp:lastModifiedBy>Un-named</cp:lastModifiedBy>
  <cp:revision>1</cp:revision>
  <dcterms:created xsi:type="dcterms:W3CDTF">2026-07-28T20:49:23.226Z</dcterms:created>
  <dcterms:modified xsi:type="dcterms:W3CDTF">2026-07-28T20:49:23.226Z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